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05187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5DD458F8" w14:textId="0068471F" w:rsidR="00EB1C5A" w:rsidRDefault="00EB1C5A" w:rsidP="004321DB">
      <w:pPr>
        <w:pStyle w:val="F2-zkladn"/>
        <w:tabs>
          <w:tab w:val="right" w:pos="9070"/>
        </w:tabs>
      </w:pPr>
      <w:r>
        <w:tab/>
      </w:r>
      <w:r w:rsidR="00761EEC">
        <w:t xml:space="preserve">Praha, 2. </w:t>
      </w:r>
      <w:r w:rsidR="00FA662A">
        <w:t xml:space="preserve">prosince </w:t>
      </w:r>
      <w:r w:rsidR="001514D6">
        <w:t>2020</w:t>
      </w:r>
    </w:p>
    <w:p w14:paraId="05028905" w14:textId="77777777" w:rsidR="00D04011" w:rsidRDefault="00770B57" w:rsidP="00EB1C5A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8"/>
          <w:szCs w:val="28"/>
        </w:rPr>
      </w:pPr>
      <w:r w:rsidRPr="00110BED">
        <w:rPr>
          <w:rFonts w:ascii="Arial" w:hAnsi="Arial" w:cs="Arial"/>
          <w:b/>
          <w:sz w:val="28"/>
          <w:szCs w:val="28"/>
        </w:rPr>
        <w:t>TPA uspěla v soutěži Účetní firma roku 2020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D4F464E" w14:textId="732E7629" w:rsidR="00D04011" w:rsidRDefault="00770B57" w:rsidP="004321DB">
      <w:pPr>
        <w:pStyle w:val="F2-zkladn"/>
        <w:tabs>
          <w:tab w:val="right" w:pos="9070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TPA, přední poradenská společnost </w:t>
      </w:r>
      <w:r w:rsidR="005233EE">
        <w:rPr>
          <w:rFonts w:eastAsia="Calibri"/>
          <w:b/>
          <w:lang w:eastAsia="en-US"/>
        </w:rPr>
        <w:t xml:space="preserve">působící </w:t>
      </w:r>
      <w:r>
        <w:rPr>
          <w:rFonts w:eastAsia="Calibri"/>
          <w:b/>
          <w:lang w:eastAsia="en-US"/>
        </w:rPr>
        <w:t>v oblast</w:t>
      </w:r>
      <w:r w:rsidR="005233EE">
        <w:rPr>
          <w:rFonts w:eastAsia="Calibri"/>
          <w:b/>
          <w:lang w:eastAsia="en-US"/>
        </w:rPr>
        <w:t>ech</w:t>
      </w:r>
      <w:r>
        <w:rPr>
          <w:rFonts w:eastAsia="Calibri"/>
          <w:b/>
          <w:lang w:eastAsia="en-US"/>
        </w:rPr>
        <w:t xml:space="preserve"> daní</w:t>
      </w:r>
      <w:r w:rsidR="005233EE">
        <w:rPr>
          <w:rFonts w:eastAsia="Calibri"/>
          <w:b/>
          <w:lang w:eastAsia="en-US"/>
        </w:rPr>
        <w:t>, vedení účetnictví</w:t>
      </w:r>
      <w:r>
        <w:rPr>
          <w:rFonts w:eastAsia="Calibri"/>
          <w:b/>
          <w:lang w:eastAsia="en-US"/>
        </w:rPr>
        <w:t xml:space="preserve"> a auditu, </w:t>
      </w:r>
      <w:r w:rsidR="005233EE">
        <w:rPr>
          <w:rFonts w:eastAsia="Calibri"/>
          <w:b/>
          <w:lang w:eastAsia="en-US"/>
        </w:rPr>
        <w:t xml:space="preserve">se </w:t>
      </w:r>
      <w:r>
        <w:rPr>
          <w:rFonts w:eastAsia="Calibri"/>
          <w:b/>
          <w:lang w:eastAsia="en-US"/>
        </w:rPr>
        <w:t xml:space="preserve">umístila </w:t>
      </w:r>
      <w:r w:rsidR="005233EE">
        <w:rPr>
          <w:rFonts w:eastAsia="Calibri"/>
          <w:b/>
          <w:lang w:eastAsia="en-US"/>
        </w:rPr>
        <w:t>mezi třemi nejlepšími účastníky</w:t>
      </w:r>
      <w:r>
        <w:rPr>
          <w:rFonts w:eastAsia="Calibri"/>
          <w:b/>
          <w:lang w:eastAsia="en-US"/>
        </w:rPr>
        <w:t xml:space="preserve"> v soutěži Účetní firma roku 2020, která oceňuje společnosti i jednotlivce působící v oblasti </w:t>
      </w:r>
      <w:r w:rsidR="00035129">
        <w:rPr>
          <w:rFonts w:eastAsia="Calibri"/>
          <w:b/>
          <w:lang w:eastAsia="en-US"/>
        </w:rPr>
        <w:t>účetnictví</w:t>
      </w:r>
      <w:r>
        <w:rPr>
          <w:rFonts w:eastAsia="Calibri"/>
          <w:b/>
          <w:lang w:eastAsia="en-US"/>
        </w:rPr>
        <w:t xml:space="preserve">. </w:t>
      </w:r>
      <w:r w:rsidR="00D5005B">
        <w:rPr>
          <w:rFonts w:eastAsia="Calibri"/>
          <w:b/>
          <w:lang w:eastAsia="en-US"/>
        </w:rPr>
        <w:t xml:space="preserve">Slavnostní vyhlášení výsledků letošního ročníku proběhlo v rámci online galavečera v úterý 1. prosince. </w:t>
      </w:r>
      <w:r>
        <w:rPr>
          <w:rFonts w:eastAsia="Calibri"/>
          <w:b/>
          <w:lang w:eastAsia="en-US"/>
        </w:rPr>
        <w:t xml:space="preserve">Za TPA cenu </w:t>
      </w:r>
      <w:r w:rsidR="00D5005B">
        <w:rPr>
          <w:rFonts w:eastAsia="Calibri"/>
          <w:b/>
          <w:lang w:eastAsia="en-US"/>
        </w:rPr>
        <w:t xml:space="preserve">převzali Jana Vítková a Petr </w:t>
      </w:r>
      <w:proofErr w:type="spellStart"/>
      <w:r w:rsidR="00D5005B">
        <w:rPr>
          <w:rFonts w:eastAsia="Calibri"/>
          <w:b/>
          <w:lang w:eastAsia="en-US"/>
        </w:rPr>
        <w:t>Karpeles</w:t>
      </w:r>
      <w:proofErr w:type="spellEnd"/>
      <w:r w:rsidR="00D5005B">
        <w:rPr>
          <w:rFonts w:eastAsia="Calibri"/>
          <w:b/>
          <w:lang w:eastAsia="en-US"/>
        </w:rPr>
        <w:t>.</w:t>
      </w:r>
    </w:p>
    <w:p w14:paraId="7548EEBB" w14:textId="18F0FAAE" w:rsidR="00D04011" w:rsidRDefault="00D5005B" w:rsidP="00D04011">
      <w:pPr>
        <w:pStyle w:val="F2-zkladn"/>
        <w:tabs>
          <w:tab w:val="right" w:pos="9070"/>
        </w:tabs>
        <w:spacing w:line="240" w:lineRule="auto"/>
      </w:pPr>
      <w:r>
        <w:t>„</w:t>
      </w:r>
      <w:r w:rsidRPr="0032107C">
        <w:rPr>
          <w:i/>
        </w:rPr>
        <w:t xml:space="preserve">Úspěchu v soutěži Účetní firma roku si velmi vážíme a vnímáme ho jako ocenění naší práce. Zejména nás těší, že naše snaha o digitalizaci, s níž jsme začali už před více než </w:t>
      </w:r>
      <w:r w:rsidR="005233EE">
        <w:rPr>
          <w:i/>
        </w:rPr>
        <w:t>deseti</w:t>
      </w:r>
      <w:r w:rsidR="005233EE" w:rsidRPr="0032107C">
        <w:rPr>
          <w:i/>
        </w:rPr>
        <w:t xml:space="preserve"> </w:t>
      </w:r>
      <w:r w:rsidRPr="0032107C">
        <w:rPr>
          <w:i/>
        </w:rPr>
        <w:t xml:space="preserve">lety, se ukázala jako správná cesta. V době pandemie se to ukazuje </w:t>
      </w:r>
      <w:r w:rsidR="001924C0">
        <w:rPr>
          <w:i/>
        </w:rPr>
        <w:t>ještě zřetelněji</w:t>
      </w:r>
      <w:r w:rsidRPr="0032107C">
        <w:rPr>
          <w:i/>
        </w:rPr>
        <w:t xml:space="preserve">. </w:t>
      </w:r>
      <w:r w:rsidR="005233EE">
        <w:rPr>
          <w:i/>
        </w:rPr>
        <w:t xml:space="preserve">Digitalizace nejenom že šetří čas a zdroje našich klientů, ale poskytuje jim důležitou výhodu ve formě nástrojů pro řešení omezení spojených </w:t>
      </w:r>
      <w:r w:rsidR="00C4700D" w:rsidRPr="0032107C">
        <w:rPr>
          <w:i/>
        </w:rPr>
        <w:t>s pandemií</w:t>
      </w:r>
      <w:r w:rsidR="00C4700D">
        <w:t>,“ vyjádřila se k ocenění Jana Vítková, partnerka TPA.</w:t>
      </w:r>
    </w:p>
    <w:p w14:paraId="09FB7851" w14:textId="22D4D36F" w:rsidR="00C4700D" w:rsidRDefault="00035129" w:rsidP="00D04011">
      <w:pPr>
        <w:pStyle w:val="F2-zkladn"/>
        <w:tabs>
          <w:tab w:val="right" w:pos="9070"/>
        </w:tabs>
        <w:spacing w:line="240" w:lineRule="auto"/>
      </w:pPr>
      <w:r>
        <w:t xml:space="preserve">Do soutěže Účetní firma roku pořádané společností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</w:t>
      </w:r>
      <w:r w:rsidR="006537BB">
        <w:t xml:space="preserve">a konané pod záštitou Komory certifikovaných účetních a Svazu účetních České republiky </w:t>
      </w:r>
      <w:r>
        <w:t xml:space="preserve">se může přihlásit kterákoliv právnická osoba splňující nominační kritéria. Mezi ty patří zejména nutnost poskytovat účetní služby jako hlavní činnost, dále působit na území České republiky minimálně pět let </w:t>
      </w:r>
      <w:r w:rsidR="0032107C">
        <w:t>či vykazovat ekonomickou stabilitu. Z došlých přihlášek na základě informací o jednotlivých firmách a jejich klientských referencí porota vybírá vítěznou trojici oceněných. V minulých ročnících uspěly např. CESORG spol. s r.o. či SLUTO s.r.o.</w:t>
      </w:r>
    </w:p>
    <w:p w14:paraId="0F4382FC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2C04C2EF" w14:textId="0783826F" w:rsidR="00D04011" w:rsidRDefault="00FA662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FA662A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14AEA6A0" wp14:editId="404208F2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316230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70" y="21513"/>
                <wp:lineTo x="21470" y="0"/>
                <wp:lineTo x="0" y="0"/>
              </wp:wrapPolygon>
            </wp:wrapTight>
            <wp:docPr id="1" name="Obrázek 1" descr="C:\Users\Marketa.Damkova\OneDrive - Crest Communications, a.s\PR-Korporátní komunikace\TPA\2020\media relations\tiskové zprávy\11_účetní firma roku\ucetni firma roku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TPA\2020\media relations\tiskové zprávy\11_účetní firma roku\ucetni firma roku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5E04B4" w14:textId="77777777" w:rsidR="00FA662A" w:rsidRDefault="00FA662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2868BD9C" w14:textId="77777777" w:rsidR="00FA662A" w:rsidRDefault="00FA662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53EC0F8" w14:textId="77777777" w:rsidR="00FA662A" w:rsidRDefault="00FA662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37DC5E1" w14:textId="77777777" w:rsidR="00FA662A" w:rsidRDefault="00FA662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B1D3622" w14:textId="77777777" w:rsidR="00FA662A" w:rsidRDefault="00FA662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AB297AF" w14:textId="7FA3A77F" w:rsidR="00FA662A" w:rsidRPr="00FA662A" w:rsidRDefault="00FA662A" w:rsidP="003916F2">
      <w:pPr>
        <w:pStyle w:val="F2-zkladn"/>
        <w:tabs>
          <w:tab w:val="right" w:pos="9070"/>
        </w:tabs>
        <w:spacing w:before="0" w:line="240" w:lineRule="auto"/>
      </w:pPr>
      <w:r w:rsidRPr="00FA662A">
        <w:t xml:space="preserve">Jana Vítková a Petr </w:t>
      </w:r>
      <w:proofErr w:type="spellStart"/>
      <w:r w:rsidRPr="00FA662A">
        <w:t>Karpeles</w:t>
      </w:r>
      <w:proofErr w:type="spellEnd"/>
      <w:r w:rsidRPr="00FA662A">
        <w:t xml:space="preserve"> s oceněním za </w:t>
      </w:r>
      <w:r w:rsidR="003C1A42">
        <w:t>umístění</w:t>
      </w:r>
      <w:r w:rsidRPr="00FA662A">
        <w:t xml:space="preserve"> v soutěži Účetní firma roku 2020</w:t>
      </w:r>
    </w:p>
    <w:p w14:paraId="3A8A94EA" w14:textId="77777777" w:rsidR="00FA662A" w:rsidRDefault="00FA662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A46CDCC" w14:textId="77777777" w:rsidR="00FA662A" w:rsidRDefault="00FA662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951E759" w14:textId="77777777" w:rsidR="00FA662A" w:rsidRDefault="00FA662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6250BCF" w14:textId="77777777" w:rsidR="00FA662A" w:rsidRDefault="00FA662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642F32C" w14:textId="77777777" w:rsidR="00FA662A" w:rsidRDefault="00FA662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17792E9" w14:textId="77777777" w:rsidR="00FA662A" w:rsidRDefault="00FA662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34BC9C3" w14:textId="77777777" w:rsidR="00FA662A" w:rsidRDefault="00FA662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D8824DE" w14:textId="77777777" w:rsidR="00FA662A" w:rsidRDefault="00FA662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DB705F1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B7D2F94" w14:textId="77777777" w:rsidR="00FA662A" w:rsidRDefault="00FA662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16BD475" w14:textId="77777777" w:rsidR="00EB1C5A" w:rsidRDefault="00EB1C5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 kontaktujte:</w:t>
      </w:r>
    </w:p>
    <w:p w14:paraId="20C2412E" w14:textId="77777777" w:rsidR="00EB1C5A" w:rsidRPr="003916F2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16F2">
        <w:rPr>
          <w:rFonts w:ascii="Arial" w:hAnsi="Arial" w:cs="Arial"/>
          <w:sz w:val="20"/>
          <w:szCs w:val="20"/>
        </w:rPr>
        <w:t>Marcela Štefcová</w:t>
      </w:r>
    </w:p>
    <w:p w14:paraId="574B4FC9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F63E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F63E5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14:paraId="7F40C1B2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7253D2EE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14CFEBAD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>: + 420 731 613 669</w:t>
      </w:r>
    </w:p>
    <w:p w14:paraId="0790FF07" w14:textId="77777777" w:rsidR="00EB1C5A" w:rsidRPr="00AF63E5" w:rsidRDefault="007736C8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60946557" w14:textId="77777777" w:rsidR="00316D20" w:rsidRDefault="00EB1C5A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w14:paraId="3800A47B" w14:textId="77777777" w:rsidR="005A2DC0" w:rsidRPr="00316D20" w:rsidRDefault="00EB1C5A" w:rsidP="00316D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w14:paraId="0BB2CF6A" w14:textId="77777777" w:rsidR="005A2DC0" w:rsidRPr="001A0CB6" w:rsidRDefault="005A2DC0" w:rsidP="005A2DC0">
      <w:pPr>
        <w:pStyle w:val="F2-zkladn"/>
        <w:spacing w:before="0" w:line="240" w:lineRule="auto"/>
        <w:rPr>
          <w:b/>
        </w:rPr>
      </w:pPr>
    </w:p>
    <w:p w14:paraId="65CBC8FB" w14:textId="77777777" w:rsidR="00EB1C5A" w:rsidRPr="003E1363" w:rsidRDefault="00EB1C5A" w:rsidP="005A2DC0">
      <w:pPr>
        <w:pStyle w:val="F2-zkladn"/>
        <w:spacing w:before="0" w:line="240" w:lineRule="auto"/>
      </w:pPr>
      <w:r w:rsidRPr="00316C9E">
        <w:lastRenderedPageBreak/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r w:rsidRPr="00F32BD2">
        <w:t>1993</w:t>
      </w:r>
      <w:r w:rsidRPr="00316C9E">
        <w:t xml:space="preserve"> a působí celkem v</w:t>
      </w:r>
      <w:r w:rsidR="00483CC4">
        <w:t>e dvanácti</w:t>
      </w:r>
      <w:r>
        <w:t xml:space="preserve"> </w:t>
      </w:r>
      <w:r w:rsidRPr="00316C9E">
        <w:t xml:space="preserve">zemích střední a </w:t>
      </w:r>
      <w:r>
        <w:t>jiho</w:t>
      </w:r>
      <w:r w:rsidRPr="00316C9E">
        <w:t>východní Evropy. Poskytuje služby zejména z oblasti daňového poradenství a auditu</w:t>
      </w:r>
      <w:r>
        <w:t>.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9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</w:t>
      </w:r>
      <w:r w:rsidR="00316D20">
        <w:br/>
      </w:r>
      <w:r w:rsidRPr="00316D20">
        <w:t xml:space="preserve">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0" w:history="1">
        <w:proofErr w:type="spellStart"/>
        <w:r w:rsidR="00433B9A">
          <w:rPr>
            <w:rStyle w:val="Hypertextovodkaz"/>
            <w:b/>
          </w:rPr>
          <w:t>Baker</w:t>
        </w:r>
        <w:proofErr w:type="spellEnd"/>
        <w:r w:rsidR="00433B9A">
          <w:rPr>
            <w:rStyle w:val="Hypertextovodkaz"/>
            <w:b/>
          </w:rPr>
          <w:t xml:space="preserve"> </w:t>
        </w:r>
        <w:proofErr w:type="spellStart"/>
        <w:r w:rsidR="00433B9A"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55EA3D38" w14:textId="77777777" w:rsidR="001272D9" w:rsidRDefault="001272D9"/>
    <w:sectPr w:rsidR="001272D9" w:rsidSect="00316D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88051" w14:textId="77777777" w:rsidR="007736C8" w:rsidRDefault="007736C8" w:rsidP="00087B0F">
      <w:pPr>
        <w:spacing w:after="0" w:line="240" w:lineRule="auto"/>
      </w:pPr>
      <w:r>
        <w:separator/>
      </w:r>
    </w:p>
  </w:endnote>
  <w:endnote w:type="continuationSeparator" w:id="0">
    <w:p w14:paraId="4B83BA2D" w14:textId="77777777" w:rsidR="007736C8" w:rsidRDefault="007736C8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BA57E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0B36F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32C9A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D6BC9" w14:textId="77777777" w:rsidR="007736C8" w:rsidRDefault="007736C8" w:rsidP="00087B0F">
      <w:pPr>
        <w:spacing w:after="0" w:line="240" w:lineRule="auto"/>
      </w:pPr>
      <w:r>
        <w:separator/>
      </w:r>
    </w:p>
  </w:footnote>
  <w:footnote w:type="continuationSeparator" w:id="0">
    <w:p w14:paraId="6E69707D" w14:textId="77777777" w:rsidR="007736C8" w:rsidRDefault="007736C8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8C567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9FF54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9171A5F" wp14:editId="565B5613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65053" w14:textId="77777777" w:rsidR="00A71FE0" w:rsidRDefault="00A71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35129"/>
    <w:rsid w:val="000474F2"/>
    <w:rsid w:val="0005087E"/>
    <w:rsid w:val="00087B0F"/>
    <w:rsid w:val="000A2944"/>
    <w:rsid w:val="000B1F52"/>
    <w:rsid w:val="000F648D"/>
    <w:rsid w:val="00110BED"/>
    <w:rsid w:val="001272D9"/>
    <w:rsid w:val="001514D6"/>
    <w:rsid w:val="001833EC"/>
    <w:rsid w:val="001924C0"/>
    <w:rsid w:val="001F387C"/>
    <w:rsid w:val="0027105E"/>
    <w:rsid w:val="002948D0"/>
    <w:rsid w:val="002A7D37"/>
    <w:rsid w:val="003143B9"/>
    <w:rsid w:val="00316D20"/>
    <w:rsid w:val="0032107C"/>
    <w:rsid w:val="00381597"/>
    <w:rsid w:val="00385385"/>
    <w:rsid w:val="003916F2"/>
    <w:rsid w:val="003B5AE8"/>
    <w:rsid w:val="003C1A42"/>
    <w:rsid w:val="003C3692"/>
    <w:rsid w:val="004010C0"/>
    <w:rsid w:val="004321DB"/>
    <w:rsid w:val="00433B9A"/>
    <w:rsid w:val="004344B5"/>
    <w:rsid w:val="004432AB"/>
    <w:rsid w:val="00474216"/>
    <w:rsid w:val="00483CC4"/>
    <w:rsid w:val="00494A82"/>
    <w:rsid w:val="004B4280"/>
    <w:rsid w:val="004E5578"/>
    <w:rsid w:val="0051646C"/>
    <w:rsid w:val="005233EE"/>
    <w:rsid w:val="005325E4"/>
    <w:rsid w:val="0053615C"/>
    <w:rsid w:val="00590F8E"/>
    <w:rsid w:val="005A2DC0"/>
    <w:rsid w:val="00643BFA"/>
    <w:rsid w:val="006537BB"/>
    <w:rsid w:val="00667056"/>
    <w:rsid w:val="00677F43"/>
    <w:rsid w:val="006A65B5"/>
    <w:rsid w:val="006D4B45"/>
    <w:rsid w:val="00704800"/>
    <w:rsid w:val="00735B2F"/>
    <w:rsid w:val="00761EEC"/>
    <w:rsid w:val="00770B57"/>
    <w:rsid w:val="007736C8"/>
    <w:rsid w:val="00784698"/>
    <w:rsid w:val="00792360"/>
    <w:rsid w:val="007B5B26"/>
    <w:rsid w:val="007C65E0"/>
    <w:rsid w:val="007D4CFC"/>
    <w:rsid w:val="007E1A19"/>
    <w:rsid w:val="008E0CBB"/>
    <w:rsid w:val="00911A6D"/>
    <w:rsid w:val="00911D3B"/>
    <w:rsid w:val="00966E2F"/>
    <w:rsid w:val="0099767A"/>
    <w:rsid w:val="00A71FE0"/>
    <w:rsid w:val="00AD6570"/>
    <w:rsid w:val="00AE5627"/>
    <w:rsid w:val="00AF63E5"/>
    <w:rsid w:val="00BB0BA0"/>
    <w:rsid w:val="00BB2F4F"/>
    <w:rsid w:val="00BC4A3D"/>
    <w:rsid w:val="00C43F8F"/>
    <w:rsid w:val="00C4700D"/>
    <w:rsid w:val="00D01576"/>
    <w:rsid w:val="00D04011"/>
    <w:rsid w:val="00D22891"/>
    <w:rsid w:val="00D26944"/>
    <w:rsid w:val="00D4284D"/>
    <w:rsid w:val="00D5005B"/>
    <w:rsid w:val="00D67270"/>
    <w:rsid w:val="00D72C84"/>
    <w:rsid w:val="00DA18DA"/>
    <w:rsid w:val="00DB6D1B"/>
    <w:rsid w:val="00DF7E3A"/>
    <w:rsid w:val="00EA436F"/>
    <w:rsid w:val="00EB1C5A"/>
    <w:rsid w:val="00F32BD2"/>
    <w:rsid w:val="00FA662A"/>
    <w:rsid w:val="00FC4599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380E8"/>
  <w15:docId w15:val="{37C680F4-65FD-47BB-AB50-20B2C2CE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akertilly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kertillyinternational.com/web/home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032DF-682E-4CA8-A789-6EF20169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Links>
    <vt:vector size="18" baseType="variant"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http://www.bakertilly.de/</vt:lpwstr>
      </vt:variant>
      <vt:variant>
        <vt:lpwstr/>
      </vt:variant>
      <vt:variant>
        <vt:i4>720917</vt:i4>
      </vt:variant>
      <vt:variant>
        <vt:i4>6</vt:i4>
      </vt:variant>
      <vt:variant>
        <vt:i4>0</vt:i4>
      </vt:variant>
      <vt:variant>
        <vt:i4>5</vt:i4>
      </vt:variant>
      <vt:variant>
        <vt:lpwstr>http://www.bakertillyinternational.com/web/home.aspx</vt:lpwstr>
      </vt:variant>
      <vt:variant>
        <vt:lpwstr/>
      </vt:variant>
      <vt:variant>
        <vt:i4>5636133</vt:i4>
      </vt:variant>
      <vt:variant>
        <vt:i4>3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Linhartová</dc:creator>
  <cp:lastModifiedBy>Nikola Spurná</cp:lastModifiedBy>
  <cp:revision>6</cp:revision>
  <cp:lastPrinted>2016-08-25T19:42:00Z</cp:lastPrinted>
  <dcterms:created xsi:type="dcterms:W3CDTF">2020-11-30T08:45:00Z</dcterms:created>
  <dcterms:modified xsi:type="dcterms:W3CDTF">2020-12-02T10:45:00Z</dcterms:modified>
</cp:coreProperties>
</file>